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Income Statement Format - Version 2 (GST Detailed)</w:t>
      </w:r>
    </w:p>
    <w:p>
      <w:r>
        <w:rPr>
          <w:sz w:val="16"/>
        </w:rPr>
        <w:t>Financial statement for income, expenses and profit/loss presentation.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F2937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Income Statement Format</w:t>
              <w:br/>
              <w:t>Version: GST Detailed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Particulars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Amount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% of Revenue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Previous Period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Variance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Category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Notes</w:t>
            </w:r>
          </w:p>
        </w:tc>
        <w:tc>
          <w:tcPr>
            <w:tcW w:type="dxa" w:w="1978"/>
            <w:shd w:fill="1F2937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Status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5%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Paid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10%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Travel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Pending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15%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15000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Sales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Part Paid</w:t>
            </w:r>
          </w:p>
        </w:tc>
      </w:tr>
      <w:tr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20%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20000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Inventory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shd w:fill="F0FDF4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Approved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25%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Jun 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25000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Admin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For business use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Open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F2937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