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20"/>
        <w:jc w:val="left"/>
      </w:pPr>
      <w:r>
        <w:rPr>
          <w:rFonts w:ascii="Aptos" w:hAnsi="Aptos" w:eastAsia="Aptos"/>
          <w:b/>
          <w:color w:val="3976B9"/>
          <w:sz w:val="20"/>
        </w:rPr>
        <w:t>GSTR-1</w:t>
      </w:r>
    </w:p>
    <w:p>
      <w:pPr>
        <w:spacing w:after="20"/>
      </w:pPr>
      <w:r>
        <w:rPr>
          <w:rFonts w:ascii="Aptos" w:hAnsi="Aptos" w:eastAsia="Aptos"/>
          <w:b/>
          <w:color w:val="193B57"/>
          <w:sz w:val="36"/>
        </w:rPr>
        <w:t>B2B, SEZ and Deemed Export Invoice Register</w:t>
      </w:r>
    </w:p>
    <w:p>
      <w:pPr>
        <w:spacing w:after="100"/>
      </w:pPr>
      <w:r>
        <w:rPr>
          <w:rFonts w:ascii="Aptos" w:hAnsi="Aptos" w:eastAsia="Aptos"/>
          <w:b w:val="0"/>
          <w:color w:val="52636F"/>
          <w:sz w:val="18"/>
        </w:rPr>
        <w:t>Invoice-level register for registered recipients and special supply flags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65"/>
        <w:gridCol w:w="3165"/>
        <w:gridCol w:w="3165"/>
        <w:gridCol w:w="3165"/>
        <w:gridCol w:w="3165"/>
      </w:tblGrid>
      <w:tr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Legal Name</w:t>
            </w:r>
          </w:p>
        </w:tc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GSTIN</w:t>
            </w:r>
          </w:p>
        </w:tc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Financial Year</w:t>
            </w:r>
          </w:p>
        </w:tc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Tax Period</w:t>
            </w:r>
          </w:p>
        </w:tc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Generated On</w:t>
            </w:r>
          </w:p>
        </w:tc>
      </w:tr>
      <w:tr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&lt;Business legal name&gt;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&lt;15-digit GSTIN&gt;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&lt;YYYY-YY&gt;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&lt;Month / Quarter&gt;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2026-07-21</w:t>
            </w:r>
          </w:p>
        </w:tc>
      </w:tr>
    </w:tbl>
    <w:p>
      <w:pPr>
        <w:spacing w:before="80" w:after="80"/>
      </w:pPr>
      <w:r>
        <w:rPr>
          <w:rFonts w:ascii="Aptos" w:hAnsi="Aptos" w:eastAsia="Aptos"/>
          <w:b/>
          <w:color w:val="3976B9"/>
          <w:sz w:val="15"/>
        </w:rPr>
        <w:t xml:space="preserve">Purpose: </w:t>
      </w:r>
      <w:r>
        <w:rPr>
          <w:rFonts w:ascii="Aptos" w:hAnsi="Aptos" w:eastAsia="Aptos"/>
          <w:b w:val="0"/>
          <w:color w:val="243746"/>
          <w:sz w:val="15"/>
        </w:rPr>
        <w:t>Use this format to prepare and review invoice-level outward supplies to registered recipients, including SEZ and deemed export transactions.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65"/>
        <w:gridCol w:w="3165"/>
        <w:gridCol w:w="3165"/>
        <w:gridCol w:w="3165"/>
        <w:gridCol w:w="3165"/>
      </w:tblGrid>
      <w:tr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Invoices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Invoice value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Taxable value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Total tax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Upload exceptions</w:t>
            </w:r>
          </w:p>
        </w:tc>
      </w:tr>
      <w:tr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</w:tr>
    </w:tbl>
    <w:p>
      <w:pPr>
        <w:spacing w:after="0"/>
      </w:pPr>
    </w:p>
    <w:p>
      <w:pPr>
        <w:spacing w:before="60" w:after="40"/>
      </w:pPr>
      <w:r>
        <w:rPr>
          <w:rFonts w:ascii="Aptos" w:hAnsi="Aptos" w:eastAsia="Aptos"/>
          <w:b/>
          <w:color w:val="193B57"/>
          <w:sz w:val="18"/>
        </w:rPr>
        <w:t>Template Data</w:t>
      </w:r>
      <w:r>
        <w:rPr>
          <w:rFonts w:ascii="Aptos" w:hAnsi="Aptos" w:eastAsia="Aptos"/>
          <w:b w:val="0"/>
          <w:color w:val="64727D"/>
          <w:sz w:val="13"/>
        </w:rPr>
        <w:t xml:space="preserve">  |  One illustrative row is included; replace it with actual GST portal and books 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</w:tblGrid>
      <w:tr>
        <w:trPr>
          <w:tblHeader w:val="true"/>
        </w:trPr>
        <w:tc>
          <w:tcPr>
            <w:tcW w:type="dxa" w:w="408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Sr. No.</w:t>
            </w:r>
          </w:p>
        </w:tc>
        <w:tc>
          <w:tcPr>
            <w:tcW w:type="dxa" w:w="1116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Recipient GSTIN/UIN</w:t>
            </w:r>
          </w:p>
        </w:tc>
        <w:tc>
          <w:tcPr>
            <w:tcW w:type="dxa" w:w="1310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Recipient Name</w:t>
            </w:r>
          </w:p>
        </w:tc>
        <w:tc>
          <w:tcPr>
            <w:tcW w:type="dxa" w:w="854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Invoice No.</w:t>
            </w:r>
          </w:p>
        </w:tc>
        <w:tc>
          <w:tcPr>
            <w:tcW w:type="dxa" w:w="757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Invoice Date</w:t>
            </w:r>
          </w:p>
        </w:tc>
        <w:tc>
          <w:tcPr>
            <w:tcW w:type="dxa" w:w="951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Invoice Type</w:t>
            </w:r>
          </w:p>
        </w:tc>
        <w:tc>
          <w:tcPr>
            <w:tcW w:type="dxa" w:w="922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Place of Supply</w:t>
            </w:r>
          </w:p>
        </w:tc>
        <w:tc>
          <w:tcPr>
            <w:tcW w:type="dxa" w:w="699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Reverse Charge</w:t>
            </w:r>
          </w:p>
        </w:tc>
        <w:tc>
          <w:tcPr>
            <w:tcW w:type="dxa" w:w="1019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E-Commerce GSTIN</w:t>
            </w:r>
          </w:p>
        </w:tc>
        <w:tc>
          <w:tcPr>
            <w:tcW w:type="dxa" w:w="873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Invoice Value</w:t>
            </w:r>
          </w:p>
        </w:tc>
        <w:tc>
          <w:tcPr>
            <w:tcW w:type="dxa" w:w="873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Taxable Value</w:t>
            </w:r>
          </w:p>
        </w:tc>
        <w:tc>
          <w:tcPr>
            <w:tcW w:type="dxa" w:w="631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IGST</w:t>
            </w:r>
          </w:p>
        </w:tc>
        <w:tc>
          <w:tcPr>
            <w:tcW w:type="dxa" w:w="631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CGST</w:t>
            </w:r>
          </w:p>
        </w:tc>
        <w:tc>
          <w:tcPr>
            <w:tcW w:type="dxa" w:w="728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SGST/UTGST</w:t>
            </w:r>
          </w:p>
        </w:tc>
        <w:tc>
          <w:tcPr>
            <w:tcW w:type="dxa" w:w="563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Cess</w:t>
            </w:r>
          </w:p>
        </w:tc>
        <w:tc>
          <w:tcPr>
            <w:tcW w:type="dxa" w:w="757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Total Tax</w:t>
            </w:r>
          </w:p>
        </w:tc>
        <w:tc>
          <w:tcPr>
            <w:tcW w:type="dxa" w:w="970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IRN / Source</w:t>
            </w:r>
          </w:p>
        </w:tc>
        <w:tc>
          <w:tcPr>
            <w:tcW w:type="dxa" w:w="796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Upload Status</w:t>
            </w:r>
          </w:p>
        </w:tc>
        <w:tc>
          <w:tcPr>
            <w:tcW w:type="dxa" w:w="970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Remarks</w:t>
            </w:r>
          </w:p>
        </w:tc>
      </w:tr>
      <w:tr>
        <w:tc>
          <w:tcPr>
            <w:tcW w:type="dxa" w:w="40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</w:t>
            </w:r>
          </w:p>
        </w:tc>
        <w:tc>
          <w:tcPr>
            <w:tcW w:type="dxa" w:w="111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GSTIN&gt;</w:t>
            </w:r>
          </w:p>
        </w:tc>
        <w:tc>
          <w:tcPr>
            <w:tcW w:type="dxa" w:w="131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name&gt;</w:t>
            </w:r>
          </w:p>
        </w:tc>
        <w:tc>
          <w:tcPr>
            <w:tcW w:type="dxa" w:w="85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&lt;Invoice no.&gt;</w:t>
            </w:r>
          </w:p>
        </w:tc>
        <w:tc>
          <w:tcPr>
            <w:tcW w:type="dxa" w:w="75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Regular B2B</w:t>
            </w:r>
          </w:p>
        </w:tc>
        <w:tc>
          <w:tcPr>
            <w:tcW w:type="dxa" w:w="9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6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No</w:t>
            </w:r>
          </w:p>
        </w:tc>
        <w:tc>
          <w:tcPr>
            <w:tcW w:type="dxa" w:w="101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2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6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5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&lt;IRN or source&gt;</w:t>
            </w:r>
          </w:p>
        </w:tc>
        <w:tc>
          <w:tcPr>
            <w:tcW w:type="dxa" w:w="79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97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0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2</w:t>
            </w:r>
          </w:p>
        </w:tc>
        <w:tc>
          <w:tcPr>
            <w:tcW w:type="dxa" w:w="111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GSTIN&gt;</w:t>
            </w:r>
          </w:p>
        </w:tc>
        <w:tc>
          <w:tcPr>
            <w:tcW w:type="dxa" w:w="131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&lt;SEZ recipient&gt;</w:t>
            </w:r>
          </w:p>
        </w:tc>
        <w:tc>
          <w:tcPr>
            <w:tcW w:type="dxa" w:w="85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&lt;Invoice no.&gt;</w:t>
            </w:r>
          </w:p>
        </w:tc>
        <w:tc>
          <w:tcPr>
            <w:tcW w:type="dxa" w:w="75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SEZ with payment</w:t>
            </w:r>
          </w:p>
        </w:tc>
        <w:tc>
          <w:tcPr>
            <w:tcW w:type="dxa" w:w="9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69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No</w:t>
            </w:r>
          </w:p>
        </w:tc>
        <w:tc>
          <w:tcPr>
            <w:tcW w:type="dxa" w:w="101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2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6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5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&lt;IRN or source&gt;</w:t>
            </w:r>
          </w:p>
        </w:tc>
        <w:tc>
          <w:tcPr>
            <w:tcW w:type="dxa" w:w="79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97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0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3</w:t>
            </w:r>
          </w:p>
        </w:tc>
        <w:tc>
          <w:tcPr>
            <w:tcW w:type="dxa" w:w="111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GSTIN&gt;</w:t>
            </w:r>
          </w:p>
        </w:tc>
        <w:tc>
          <w:tcPr>
            <w:tcW w:type="dxa" w:w="131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name&gt;</w:t>
            </w:r>
          </w:p>
        </w:tc>
        <w:tc>
          <w:tcPr>
            <w:tcW w:type="dxa" w:w="85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&lt;Invoice no.&gt;</w:t>
            </w:r>
          </w:p>
        </w:tc>
        <w:tc>
          <w:tcPr>
            <w:tcW w:type="dxa" w:w="75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Deemed export</w:t>
            </w:r>
          </w:p>
        </w:tc>
        <w:tc>
          <w:tcPr>
            <w:tcW w:type="dxa" w:w="9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6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No</w:t>
            </w:r>
          </w:p>
        </w:tc>
        <w:tc>
          <w:tcPr>
            <w:tcW w:type="dxa" w:w="101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2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6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5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&lt;IRN or source&gt;</w:t>
            </w:r>
          </w:p>
        </w:tc>
        <w:tc>
          <w:tcPr>
            <w:tcW w:type="dxa" w:w="79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97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0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11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31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5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9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1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2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6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5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9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0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11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31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5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1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2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6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5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9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08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r>
              <w:rPr>
                <w:rFonts w:ascii="Aptos" w:hAnsi="Aptos" w:eastAsia="Aptos"/>
                <w:b/>
                <w:color w:val="193B57"/>
                <w:sz w:val="11"/>
              </w:rPr>
              <w:t>TOTAL / CONTROL</w:t>
            </w:r>
          </w:p>
        </w:tc>
        <w:tc>
          <w:tcPr>
            <w:tcW w:type="dxa" w:w="111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310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54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757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951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92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69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1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73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873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631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631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728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563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757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970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79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970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6834" w:h="11909" w:orient="landscape"/>
      <w:pgMar w:top="1613" w:right="504" w:bottom="648" w:left="504" w:header="101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5B6770"/>
        <w:sz w:val="12"/>
      </w:rPr>
      <w:t xml:space="preserve">Template for reconciliation and reporting - not a substitute for the GST Portal statement or professional tax advice.  </w:t>
    </w:r>
    <w:r>
      <w:rPr>
        <w:rFonts w:ascii="Aptos" w:hAnsi="Aptos" w:eastAsia="Aptos"/>
        <w:b/>
        <w:color w:val="3976B9"/>
        <w:sz w:val="12"/>
      </w:rPr>
      <w:t>raseedapp.com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center"/>
    </w:pPr>
    <w:r>
      <w:drawing>
        <wp:inline xmlns:a="http://schemas.openxmlformats.org/drawingml/2006/main" xmlns:pic="http://schemas.openxmlformats.org/drawingml/2006/picture">
          <wp:extent cx="10049510" cy="8396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(42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49510" cy="83969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 w:eastAsia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