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784080" cy="8222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d0c030-bd5a-4f35-a221-0ffd11bf22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84080" cy="82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Arial" w:hAnsi="Arial" w:eastAsia="Arial"/>
          <w:b/>
          <w:color w:val="1F4E79"/>
          <w:sz w:val="30"/>
        </w:rPr>
        <w:t>EXPENSE SHEET FORMAT - VERSION 2</w:t>
      </w:r>
    </w:p>
    <w:p>
      <w:pPr>
        <w:spacing w:after="40"/>
        <w:jc w:val="center"/>
      </w:pPr>
      <w:r>
        <w:rPr>
          <w:rFonts w:ascii="Arial" w:hAnsi="Arial" w:eastAsia="Arial"/>
          <w:b/>
          <w:color w:val="20A464"/>
          <w:sz w:val="21"/>
        </w:rPr>
        <w:t>Monthly Expense Tracker</w:t>
      </w: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5120"/>
      </w:tblGrid>
      <w:tr>
        <w:tc>
          <w:tcPr>
            <w:tcW w:type="dxa" w:w="15120"/>
            <w:shd w:fill="EAF7F0"/>
            <w:tcBorders>
              <w:top w:val="single" w:sz="4" w:space="0" w:color="EAF7F0"/>
              <w:left w:val="single" w:sz="4" w:space="0" w:color="EAF7F0"/>
              <w:bottom w:val="single" w:sz="4" w:space="0" w:color="EAF7F0"/>
              <w:right w:val="single" w:sz="4" w:space="0" w:color="EAF7F0"/>
              <w:insideH w:val="single" w:sz="4" w:space="0" w:color="EAF7F0"/>
              <w:insideV w:val="single" w:sz="4" w:space="0" w:color="EAF7F0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  <w:t>Best for tracking budget vs actual monthly expenses across categories and departments.</w:t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Business Name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Expense Period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GSTIN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Prepared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Address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Approved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</w:tbl>
    <w:p>
      <w:pPr>
        <w:spacing w:after="20"/>
      </w:pP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</w:tblGrid>
      <w:tr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Date</w:t>
            </w:r>
          </w:p>
        </w:tc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Department</w:t>
            </w:r>
          </w:p>
        </w:tc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Category</w:t>
            </w:r>
          </w:p>
        </w:tc>
        <w:tc>
          <w:tcPr>
            <w:tcW w:type="dxa" w:w="1893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Vendor</w:t>
            </w:r>
          </w:p>
        </w:tc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Bill No.</w:t>
            </w:r>
          </w:p>
        </w:tc>
        <w:tc>
          <w:tcPr>
            <w:tcW w:type="dxa" w:w="1463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Budgeted Amount</w:t>
            </w:r>
          </w:p>
        </w:tc>
        <w:tc>
          <w:tcPr>
            <w:tcW w:type="dxa" w:w="1463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Actual Amount</w:t>
            </w:r>
          </w:p>
        </w:tc>
        <w:tc>
          <w:tcPr>
            <w:tcW w:type="dxa" w:w="1463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Variance</w:t>
            </w:r>
          </w:p>
        </w:tc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Payment Mode</w:t>
            </w:r>
          </w:p>
        </w:tc>
        <w:tc>
          <w:tcPr>
            <w:tcW w:type="dxa" w:w="120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Status</w:t>
            </w:r>
          </w:p>
        </w:tc>
        <w:tc>
          <w:tcPr>
            <w:tcW w:type="dxa" w:w="1893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Remarks</w:t>
            </w:r>
          </w:p>
        </w:tc>
      </w:tr>
      <w:tr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01-Jun-2026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Admin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Rent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Office Landlord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RENT-06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₹25,000.00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₹25,000.00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Bank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Paid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05-Jun-2026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Sales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Marketing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Digital Ads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ADS-06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₹15,000.00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₹18,200.00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₹3,200.00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Card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Paid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Above budget</w:t>
            </w:r>
          </w:p>
        </w:tc>
      </w:tr>
      <w:tr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10-Jun-2026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Operations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Courier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FastShip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CR-100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₹8,000.00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₹6,200.00</w:t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₹-1,800.00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UPI</w:t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Paid</w:t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6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0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93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0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Total Actual Expense</w:t>
            </w:r>
          </w:p>
        </w:tc>
        <w:tc>
          <w:tcPr>
            <w:tcW w:type="dxa" w:w="120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0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893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0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63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63"/>
            <w:shd w:fill="20A464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₹49,400.00</w:t>
            </w:r>
          </w:p>
        </w:tc>
        <w:tc>
          <w:tcPr>
            <w:tcW w:type="dxa" w:w="1463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05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05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893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Prepared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Approved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</w:tbl>
    <w:sectPr w:rsidR="00FC693F" w:rsidRPr="0006063C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